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E3" w:rsidRPr="00DE5EEE" w:rsidRDefault="004033E3" w:rsidP="004033E3">
      <w:pPr>
        <w:jc w:val="center"/>
        <w:rPr>
          <w:rFonts w:ascii="Times New Roman" w:hAnsi="Times New Roman" w:cs="Times New Roman"/>
          <w:b/>
          <w:sz w:val="28"/>
          <w:szCs w:val="28"/>
        </w:rPr>
      </w:pPr>
      <w:r>
        <w:rPr>
          <w:rFonts w:ascii="Times New Roman" w:hAnsi="Times New Roman" w:cs="Times New Roman"/>
          <w:b/>
          <w:sz w:val="28"/>
          <w:szCs w:val="28"/>
        </w:rPr>
        <w:t>Dodatok č.2</w:t>
      </w:r>
      <w:r w:rsidR="00CD2A6C">
        <w:rPr>
          <w:rFonts w:ascii="Times New Roman" w:hAnsi="Times New Roman" w:cs="Times New Roman"/>
          <w:b/>
          <w:sz w:val="28"/>
          <w:szCs w:val="28"/>
        </w:rPr>
        <w:t xml:space="preserve"> k</w:t>
      </w:r>
      <w:r w:rsidRPr="00DE5EEE">
        <w:rPr>
          <w:rFonts w:ascii="Times New Roman" w:hAnsi="Times New Roman" w:cs="Times New Roman"/>
          <w:b/>
          <w:sz w:val="28"/>
          <w:szCs w:val="28"/>
        </w:rPr>
        <w:t xml:space="preserve"> Školskému poriadku Gymnázia Martina Kukučína, Clementisova 1166, Revúca</w:t>
      </w: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Pr="004033E3" w:rsidRDefault="004033E3" w:rsidP="004033E3">
      <w:pPr>
        <w:jc w:val="center"/>
        <w:rPr>
          <w:rFonts w:ascii="Times New Roman" w:hAnsi="Times New Roman" w:cs="Times New Roman"/>
          <w:b/>
          <w:sz w:val="48"/>
          <w:szCs w:val="48"/>
        </w:rPr>
      </w:pPr>
      <w:r w:rsidRPr="004033E3">
        <w:rPr>
          <w:rFonts w:ascii="Times New Roman" w:hAnsi="Times New Roman" w:cs="Times New Roman"/>
          <w:b/>
          <w:sz w:val="48"/>
          <w:szCs w:val="48"/>
          <w:u w:color="002060"/>
        </w:rPr>
        <w:t>Štandardy dodržiavania zákazu segregácie vo výchove a vzdelávaní</w:t>
      </w:r>
    </w:p>
    <w:p w:rsidR="004033E3" w:rsidRPr="004033E3" w:rsidRDefault="004033E3" w:rsidP="004033E3">
      <w:pPr>
        <w:jc w:val="center"/>
        <w:rPr>
          <w:rFonts w:ascii="Times New Roman" w:hAnsi="Times New Roman" w:cs="Times New Roman"/>
          <w:b/>
          <w:sz w:val="48"/>
          <w:szCs w:val="48"/>
          <w:u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4033E3" w:rsidRDefault="004033E3">
      <w:pPr>
        <w:spacing w:after="100" w:line="259" w:lineRule="auto"/>
        <w:ind w:left="0" w:right="0" w:firstLine="0"/>
        <w:jc w:val="left"/>
        <w:rPr>
          <w:b/>
          <w:color w:val="002060"/>
          <w:u w:val="single" w:color="002060"/>
        </w:rPr>
      </w:pPr>
    </w:p>
    <w:p w:rsidR="00CF777E" w:rsidRPr="007452A7" w:rsidRDefault="004033E3" w:rsidP="007452A7">
      <w:pPr>
        <w:jc w:val="center"/>
        <w:rPr>
          <w:rFonts w:ascii="Times New Roman" w:hAnsi="Times New Roman" w:cs="Times New Roman"/>
          <w:b/>
          <w:sz w:val="28"/>
          <w:szCs w:val="28"/>
          <w:u w:color="002060"/>
        </w:rPr>
      </w:pPr>
      <w:r w:rsidRPr="007452A7">
        <w:rPr>
          <w:rFonts w:ascii="Times New Roman" w:hAnsi="Times New Roman" w:cs="Times New Roman"/>
          <w:b/>
          <w:sz w:val="28"/>
          <w:szCs w:val="28"/>
          <w:u w:color="002060"/>
        </w:rPr>
        <w:t>Článok 1</w:t>
      </w:r>
    </w:p>
    <w:p w:rsidR="004033E3" w:rsidRDefault="004033E3" w:rsidP="007452A7">
      <w:pPr>
        <w:jc w:val="center"/>
        <w:rPr>
          <w:rFonts w:ascii="Times New Roman" w:hAnsi="Times New Roman" w:cs="Times New Roman"/>
          <w:szCs w:val="24"/>
          <w:u w:color="002060"/>
        </w:rPr>
      </w:pPr>
      <w:r w:rsidRPr="007452A7">
        <w:rPr>
          <w:rFonts w:ascii="Times New Roman" w:hAnsi="Times New Roman" w:cs="Times New Roman"/>
          <w:szCs w:val="24"/>
          <w:u w:color="002060"/>
        </w:rPr>
        <w:t>Všeobecná časť</w:t>
      </w:r>
    </w:p>
    <w:p w:rsidR="007452A7" w:rsidRPr="007452A7" w:rsidRDefault="007452A7" w:rsidP="007452A7">
      <w:pPr>
        <w:jc w:val="center"/>
        <w:rPr>
          <w:rFonts w:ascii="Times New Roman" w:hAnsi="Times New Roman" w:cs="Times New Roman"/>
          <w:szCs w:val="24"/>
        </w:rPr>
      </w:pP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Článok 29 ods. 1: Výchova a vzdelávanie dieťaťa má smerovať k: </w:t>
      </w:r>
    </w:p>
    <w:p w:rsidR="00CF777E" w:rsidRPr="007452A7" w:rsidRDefault="007452A7" w:rsidP="007452A7">
      <w:pPr>
        <w:pStyle w:val="Odsekzoznamu"/>
        <w:numPr>
          <w:ilvl w:val="0"/>
          <w:numId w:val="7"/>
        </w:numPr>
        <w:rPr>
          <w:rFonts w:ascii="Times New Roman" w:hAnsi="Times New Roman" w:cs="Times New Roman"/>
          <w:szCs w:val="24"/>
        </w:rPr>
      </w:pPr>
      <w:r w:rsidRPr="007452A7">
        <w:rPr>
          <w:rFonts w:ascii="Times New Roman" w:hAnsi="Times New Roman" w:cs="Times New Roman"/>
          <w:szCs w:val="24"/>
        </w:rPr>
        <w:t xml:space="preserve">rozvoju osobnosti dieťaťa, jeho jedinečných daností a duševných a fyzických schopností v ich najvyššej možnej miere;  </w:t>
      </w:r>
    </w:p>
    <w:p w:rsidR="00CF777E" w:rsidRPr="007452A7" w:rsidRDefault="007452A7" w:rsidP="007452A7">
      <w:pPr>
        <w:pStyle w:val="Odsekzoznamu"/>
        <w:numPr>
          <w:ilvl w:val="0"/>
          <w:numId w:val="7"/>
        </w:numPr>
        <w:rPr>
          <w:rFonts w:ascii="Times New Roman" w:hAnsi="Times New Roman" w:cs="Times New Roman"/>
          <w:szCs w:val="24"/>
        </w:rPr>
      </w:pPr>
      <w:r w:rsidRPr="007452A7">
        <w:rPr>
          <w:rFonts w:ascii="Times New Roman" w:hAnsi="Times New Roman" w:cs="Times New Roman"/>
          <w:szCs w:val="24"/>
        </w:rPr>
        <w:t xml:space="preserve">rozvíjaniu úcty k ľudským právam a základným slobodám a k zásadám zakotveným v Charte Organizácie Spojených národov;  </w:t>
      </w:r>
    </w:p>
    <w:p w:rsidR="00CF777E" w:rsidRPr="007452A7" w:rsidRDefault="007452A7" w:rsidP="007452A7">
      <w:pPr>
        <w:pStyle w:val="Odsekzoznamu"/>
        <w:numPr>
          <w:ilvl w:val="0"/>
          <w:numId w:val="7"/>
        </w:numPr>
        <w:rPr>
          <w:rFonts w:ascii="Times New Roman" w:hAnsi="Times New Roman" w:cs="Times New Roman"/>
          <w:szCs w:val="24"/>
        </w:rPr>
      </w:pPr>
      <w:r w:rsidRPr="007452A7">
        <w:rPr>
          <w:rFonts w:ascii="Times New Roman" w:hAnsi="Times New Roman" w:cs="Times New Roman"/>
          <w:szCs w:val="24"/>
        </w:rPr>
        <w:t xml:space="preserve">rozvíjaniu úcty k rodičom, k vlastnej kultúrnej, jazykovej a hodnotovej identite a k hodnotám krajiny, v ktorej dieťa žije i k hodnotám krajiny svojho pôvodu a k iným kultúram  </w:t>
      </w:r>
    </w:p>
    <w:p w:rsidR="00CF777E" w:rsidRPr="007452A7" w:rsidRDefault="007452A7" w:rsidP="007452A7">
      <w:pPr>
        <w:pStyle w:val="Odsekzoznamu"/>
        <w:numPr>
          <w:ilvl w:val="0"/>
          <w:numId w:val="7"/>
        </w:numPr>
        <w:rPr>
          <w:rFonts w:ascii="Times New Roman" w:hAnsi="Times New Roman" w:cs="Times New Roman"/>
          <w:szCs w:val="24"/>
        </w:rPr>
      </w:pPr>
      <w:r w:rsidRPr="007452A7">
        <w:rPr>
          <w:rFonts w:ascii="Times New Roman" w:hAnsi="Times New Roman" w:cs="Times New Roman"/>
          <w:szCs w:val="24"/>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rsidR="00CF777E" w:rsidRPr="007452A7" w:rsidRDefault="007452A7" w:rsidP="007452A7">
      <w:pPr>
        <w:pStyle w:val="Odsekzoznamu"/>
        <w:numPr>
          <w:ilvl w:val="0"/>
          <w:numId w:val="7"/>
        </w:numPr>
        <w:rPr>
          <w:rFonts w:ascii="Times New Roman" w:hAnsi="Times New Roman" w:cs="Times New Roman"/>
          <w:szCs w:val="24"/>
        </w:rPr>
      </w:pPr>
      <w:r w:rsidRPr="007452A7">
        <w:rPr>
          <w:rFonts w:ascii="Times New Roman" w:hAnsi="Times New Roman" w:cs="Times New Roman"/>
          <w:szCs w:val="24"/>
        </w:rPr>
        <w:t>rozvíjaniu úcty k prírodnému prostrediu.”</w:t>
      </w:r>
      <w:r w:rsidRPr="007452A7">
        <w:rPr>
          <w:vertAlign w:val="superscript"/>
        </w:rPr>
        <w:footnoteReference w:id="1"/>
      </w:r>
      <w:r w:rsidRPr="007452A7">
        <w:rPr>
          <w:rFonts w:ascii="Times New Roman" w:hAnsi="Times New Roman" w:cs="Times New Roman"/>
          <w:szCs w:val="24"/>
        </w:rPr>
        <w:t xml:space="preserve"> </w:t>
      </w:r>
    </w:p>
    <w:p w:rsidR="007452A7" w:rsidRDefault="007452A7" w:rsidP="007452A7">
      <w:pPr>
        <w:rPr>
          <w:rFonts w:ascii="Times New Roman" w:hAnsi="Times New Roman" w:cs="Times New Roman"/>
          <w:szCs w:val="24"/>
        </w:rPr>
      </w:pP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Štandardy dodržiavania zákazu segregácie sú rozpracovaním a realizáciou praktickej časti Metodickej príručky desegregácie vo výchove a vzdelávaní</w:t>
      </w:r>
      <w:r w:rsidRPr="007452A7">
        <w:rPr>
          <w:rFonts w:ascii="Times New Roman" w:hAnsi="Times New Roman" w:cs="Times New Roman"/>
          <w:szCs w:val="24"/>
          <w:vertAlign w:val="superscript"/>
        </w:rPr>
        <w:footnoteReference w:id="2"/>
      </w:r>
      <w:r w:rsidRPr="007452A7">
        <w:rPr>
          <w:rFonts w:ascii="Times New Roman" w:hAnsi="Times New Roman" w:cs="Times New Roman"/>
          <w:szCs w:val="24"/>
        </w:rPr>
        <w:t xml:space="preserve">. </w:t>
      </w:r>
    </w:p>
    <w:p w:rsidR="00CD2A6C" w:rsidRPr="007452A7" w:rsidRDefault="007452A7" w:rsidP="00CD2A6C">
      <w:pPr>
        <w:ind w:left="0" w:firstLine="0"/>
        <w:rPr>
          <w:rFonts w:ascii="Times New Roman" w:hAnsi="Times New Roman" w:cs="Times New Roman"/>
          <w:szCs w:val="24"/>
        </w:rPr>
      </w:pPr>
      <w:r w:rsidRPr="007452A7">
        <w:rPr>
          <w:rFonts w:ascii="Times New Roman" w:hAnsi="Times New Roman" w:cs="Times New Roman"/>
          <w:szCs w:val="24"/>
        </w:rPr>
        <w:t xml:space="preserve">Štandardy v prepojení na metodickú príručku napomáhajú naplneniu princípu </w:t>
      </w:r>
      <w:r w:rsidRPr="007452A7">
        <w:rPr>
          <w:rFonts w:ascii="Times New Roman" w:hAnsi="Times New Roman" w:cs="Times New Roman"/>
          <w:i/>
          <w:szCs w:val="24"/>
        </w:rPr>
        <w:t>„zákazu všetkých foriem diskriminácie a obzvlášť segregácie“</w:t>
      </w:r>
      <w:r w:rsidRPr="007452A7">
        <w:rPr>
          <w:rFonts w:ascii="Times New Roman" w:hAnsi="Times New Roman" w:cs="Times New Roman"/>
          <w:szCs w:val="24"/>
          <w:vertAlign w:val="superscript"/>
        </w:rPr>
        <w:footnoteReference w:id="3"/>
      </w:r>
      <w:r w:rsidRPr="007452A7">
        <w:rPr>
          <w:rFonts w:ascii="Times New Roman" w:hAnsi="Times New Roman" w:cs="Times New Roman"/>
          <w:szCs w:val="24"/>
        </w:rPr>
        <w:t xml:space="preserve">. Segregáciu vo výchove a </w:t>
      </w:r>
      <w:r w:rsidRPr="007452A7">
        <w:rPr>
          <w:rFonts w:ascii="Times New Roman" w:hAnsi="Times New Roman" w:cs="Times New Roman"/>
          <w:szCs w:val="24"/>
        </w:rPr>
        <w:lastRenderedPageBreak/>
        <w:t>vzdelávaní definuje školský zákon nasledovne: „</w:t>
      </w:r>
      <w:r w:rsidRPr="007452A7">
        <w:rPr>
          <w:rFonts w:ascii="Times New Roman" w:hAnsi="Times New Roman" w:cs="Times New Roman"/>
          <w:i/>
          <w:szCs w:val="24"/>
        </w:rPr>
        <w:t>konanie alebo opomenutie konania, ktoré je v rozpore so zásadou rovnakého zaobchádzania podľa osobitného predpisu</w:t>
      </w:r>
      <w:r w:rsidRPr="007452A7">
        <w:rPr>
          <w:rFonts w:ascii="Times New Roman" w:hAnsi="Times New Roman" w:cs="Times New Roman"/>
          <w:i/>
          <w:szCs w:val="24"/>
          <w:vertAlign w:val="superscript"/>
        </w:rPr>
        <w:t>2a)</w:t>
      </w:r>
      <w:r w:rsidRPr="007452A7">
        <w:rPr>
          <w:rFonts w:ascii="Times New Roman" w:hAnsi="Times New Roman" w:cs="Times New Roman"/>
          <w:i/>
          <w:szCs w:val="24"/>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7452A7">
        <w:rPr>
          <w:rFonts w:ascii="Times New Roman" w:hAnsi="Times New Roman" w:cs="Times New Roman"/>
          <w:i/>
          <w:szCs w:val="24"/>
          <w:vertAlign w:val="superscript"/>
        </w:rPr>
        <w:t>2b)</w:t>
      </w:r>
      <w:r w:rsidRPr="007452A7">
        <w:rPr>
          <w:rFonts w:ascii="Times New Roman" w:hAnsi="Times New Roman" w:cs="Times New Roman"/>
          <w:i/>
          <w:szCs w:val="24"/>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w:t>
      </w:r>
      <w:r>
        <w:rPr>
          <w:rFonts w:ascii="Times New Roman" w:hAnsi="Times New Roman" w:cs="Times New Roman"/>
          <w:i/>
          <w:szCs w:val="24"/>
        </w:rPr>
        <w:t xml:space="preserve"> a vôle a záujmov ich zákonných</w:t>
      </w:r>
      <w:r w:rsidR="00CD2A6C">
        <w:rPr>
          <w:rFonts w:ascii="Times New Roman" w:hAnsi="Times New Roman" w:cs="Times New Roman"/>
          <w:i/>
          <w:szCs w:val="24"/>
        </w:rPr>
        <w:t xml:space="preserve"> </w:t>
      </w:r>
      <w:r w:rsidR="00CD2A6C" w:rsidRPr="007452A7">
        <w:rPr>
          <w:rFonts w:ascii="Times New Roman" w:hAnsi="Times New Roman" w:cs="Times New Roman"/>
          <w:i/>
          <w:szCs w:val="24"/>
        </w:rPr>
        <w:t>zástupcov, ak je účasť na takom vzdelávaní voliteľná a zodpovedá úprave podmienok výchovy  a vzdelávania podľa tohto zákona, osobitne pre výchovu a vzdelávanie na rovnakom stupni vzdelania</w:t>
      </w:r>
      <w:r w:rsidR="00CD2A6C" w:rsidRPr="007452A7">
        <w:rPr>
          <w:rFonts w:ascii="Times New Roman" w:hAnsi="Times New Roman" w:cs="Times New Roman"/>
          <w:szCs w:val="24"/>
        </w:rPr>
        <w:t>.“</w:t>
      </w:r>
      <w:r w:rsidR="00CD2A6C" w:rsidRPr="007452A7">
        <w:rPr>
          <w:rFonts w:ascii="Times New Roman" w:hAnsi="Times New Roman" w:cs="Times New Roman"/>
          <w:szCs w:val="24"/>
          <w:vertAlign w:val="superscript"/>
        </w:rPr>
        <w:footnoteReference w:id="4"/>
      </w:r>
      <w:r w:rsidR="00CD2A6C" w:rsidRPr="007452A7">
        <w:rPr>
          <w:rFonts w:ascii="Times New Roman" w:hAnsi="Times New Roman" w:cs="Times New Roman"/>
          <w:szCs w:val="24"/>
        </w:rPr>
        <w:t xml:space="preserve"> </w:t>
      </w:r>
    </w:p>
    <w:p w:rsidR="00CD2A6C" w:rsidRPr="007452A7" w:rsidRDefault="00CD2A6C" w:rsidP="00CD2A6C">
      <w:pPr>
        <w:rPr>
          <w:rFonts w:ascii="Times New Roman" w:hAnsi="Times New Roman" w:cs="Times New Roman"/>
          <w:szCs w:val="24"/>
        </w:rPr>
      </w:pPr>
      <w:r w:rsidRPr="007452A7">
        <w:rPr>
          <w:rFonts w:ascii="Times New Roman" w:hAnsi="Times New Roman" w:cs="Times New Roman"/>
          <w:szCs w:val="24"/>
        </w:rPr>
        <w:t xml:space="preserve">Štandardy dodržiavania zákazu segregácie vo výchove a vzdelávaní sa týkajú všetkých oblastí, ktoré upravuje školský poriadok podľa školského zákona (Zákon č. 245/2008 Z. z., § 153 ods. 1):  </w:t>
      </w:r>
    </w:p>
    <w:p w:rsidR="00CD2A6C" w:rsidRPr="007452A7" w:rsidRDefault="00CD2A6C" w:rsidP="00CD2A6C">
      <w:pPr>
        <w:rPr>
          <w:rFonts w:ascii="Times New Roman" w:hAnsi="Times New Roman" w:cs="Times New Roman"/>
          <w:szCs w:val="24"/>
        </w:rPr>
      </w:pPr>
      <w:r w:rsidRPr="007452A7">
        <w:rPr>
          <w:rFonts w:ascii="Times New Roman" w:hAnsi="Times New Roman" w:cs="Times New Roman"/>
          <w:szCs w:val="24"/>
        </w:rPr>
        <w:t xml:space="preserve">výkon práv a povinností žiakov a ich zákonných zástupcov v škole, pravidlá vzájomných vzťahov  a vzťahov s pedagogickými zamestnancami a ďalšími zamestnancami školy, </w:t>
      </w:r>
    </w:p>
    <w:p w:rsidR="00CD2A6C" w:rsidRPr="007452A7" w:rsidRDefault="00CD2A6C" w:rsidP="00CD2A6C">
      <w:pPr>
        <w:rPr>
          <w:rFonts w:ascii="Times New Roman" w:hAnsi="Times New Roman" w:cs="Times New Roman"/>
          <w:szCs w:val="24"/>
        </w:rPr>
      </w:pPr>
      <w:r w:rsidRPr="007452A7">
        <w:rPr>
          <w:rFonts w:ascii="Times New Roman" w:hAnsi="Times New Roman" w:cs="Times New Roman"/>
          <w:szCs w:val="24"/>
        </w:rPr>
        <w:t xml:space="preserve">prevádzka a vnútorný režim školy, </w:t>
      </w:r>
    </w:p>
    <w:p w:rsidR="00CD2A6C" w:rsidRPr="007452A7" w:rsidRDefault="00CD2A6C" w:rsidP="00CD2A6C">
      <w:pPr>
        <w:rPr>
          <w:rFonts w:ascii="Times New Roman" w:hAnsi="Times New Roman" w:cs="Times New Roman"/>
          <w:szCs w:val="24"/>
        </w:rPr>
      </w:pPr>
      <w:r w:rsidRPr="007452A7">
        <w:rPr>
          <w:rFonts w:ascii="Times New Roman" w:hAnsi="Times New Roman" w:cs="Times New Roman"/>
          <w:szCs w:val="24"/>
        </w:rPr>
        <w:t xml:space="preserve">podmienky na zaistenie bezpečnosti a ochrany zdravia detí a žiakov a ich ochrany pred sociálnopatologickými javmi, diskrimináciou alebo násilím, </w:t>
      </w:r>
    </w:p>
    <w:p w:rsidR="00CD2A6C" w:rsidRPr="007452A7" w:rsidRDefault="00CD2A6C" w:rsidP="00CD2A6C">
      <w:pPr>
        <w:rPr>
          <w:rFonts w:ascii="Times New Roman" w:hAnsi="Times New Roman" w:cs="Times New Roman"/>
          <w:szCs w:val="24"/>
        </w:rPr>
      </w:pPr>
      <w:r w:rsidRPr="007452A7">
        <w:rPr>
          <w:rFonts w:ascii="Times New Roman" w:hAnsi="Times New Roman" w:cs="Times New Roman"/>
          <w:szCs w:val="24"/>
        </w:rPr>
        <w:t xml:space="preserve">podmienky nakladania s majetkom, ktorý škola alebo školské zariadenie spravuje, ak tak rozhodne zriaďovateľ. </w:t>
      </w:r>
    </w:p>
    <w:p w:rsidR="00CD2A6C" w:rsidRPr="007452A7" w:rsidRDefault="00CD2A6C" w:rsidP="00CD2A6C">
      <w:pPr>
        <w:rPr>
          <w:rFonts w:ascii="Times New Roman" w:hAnsi="Times New Roman" w:cs="Times New Roman"/>
          <w:szCs w:val="24"/>
        </w:rPr>
      </w:pPr>
      <w:r w:rsidRPr="007452A7">
        <w:rPr>
          <w:rFonts w:ascii="Times New Roman" w:hAnsi="Times New Roman" w:cs="Times New Roman"/>
          <w:szCs w:val="24"/>
        </w:rPr>
        <w:t xml:space="preserve">Štandardy dodržiavania zákazu segregácie vo výchove a vzdelávaní definujeme ako Štandardy postojov a hodnôt a Štandardy vyplývajúce z definície segregácie vo výchove a vzdelávaní. </w:t>
      </w:r>
    </w:p>
    <w:p w:rsidR="007452A7" w:rsidRDefault="007452A7" w:rsidP="007452A7">
      <w:pPr>
        <w:rPr>
          <w:rFonts w:ascii="Times New Roman" w:hAnsi="Times New Roman" w:cs="Times New Roman"/>
          <w:i/>
          <w:szCs w:val="24"/>
        </w:rPr>
      </w:pPr>
    </w:p>
    <w:p w:rsidR="00CF777E" w:rsidRDefault="00CF777E"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Default="007452A7" w:rsidP="007452A7">
      <w:pPr>
        <w:spacing w:after="160" w:line="259" w:lineRule="auto"/>
        <w:ind w:left="0" w:right="0" w:firstLine="0"/>
        <w:jc w:val="left"/>
        <w:rPr>
          <w:rFonts w:ascii="Times New Roman" w:hAnsi="Times New Roman" w:cs="Times New Roman"/>
          <w:i/>
          <w:szCs w:val="24"/>
        </w:rPr>
      </w:pPr>
    </w:p>
    <w:p w:rsidR="007452A7" w:rsidRPr="007452A7" w:rsidRDefault="007452A7" w:rsidP="007452A7">
      <w:pPr>
        <w:spacing w:after="160" w:line="259" w:lineRule="auto"/>
        <w:ind w:left="0" w:right="0" w:firstLine="0"/>
        <w:jc w:val="left"/>
        <w:rPr>
          <w:rFonts w:ascii="Times New Roman" w:hAnsi="Times New Roman" w:cs="Times New Roman"/>
          <w:i/>
          <w:szCs w:val="24"/>
        </w:rPr>
        <w:sectPr w:rsidR="007452A7" w:rsidRPr="007452A7">
          <w:footerReference w:type="even" r:id="rId7"/>
          <w:footerReference w:type="default" r:id="rId8"/>
          <w:footerReference w:type="first" r:id="rId9"/>
          <w:pgSz w:w="11906" w:h="16838"/>
          <w:pgMar w:top="759" w:right="1311" w:bottom="809" w:left="1419" w:header="708" w:footer="708" w:gutter="0"/>
          <w:pgNumType w:start="0"/>
          <w:cols w:space="708"/>
          <w:titlePg/>
        </w:sectPr>
      </w:pPr>
    </w:p>
    <w:p w:rsidR="00CF777E" w:rsidRDefault="00CF777E" w:rsidP="00CD2A6C">
      <w:pPr>
        <w:ind w:left="0" w:firstLine="0"/>
        <w:rPr>
          <w:rFonts w:ascii="Times New Roman" w:hAnsi="Times New Roman" w:cs="Times New Roman"/>
          <w:szCs w:val="24"/>
        </w:rPr>
      </w:pPr>
    </w:p>
    <w:p w:rsidR="007452A7" w:rsidRPr="007452A7" w:rsidRDefault="007452A7" w:rsidP="007452A7">
      <w:pPr>
        <w:rPr>
          <w:rFonts w:ascii="Times New Roman" w:hAnsi="Times New Roman" w:cs="Times New Roman"/>
          <w:b/>
          <w:sz w:val="28"/>
          <w:szCs w:val="28"/>
          <w:u w:color="002060"/>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b/>
          <w:sz w:val="28"/>
          <w:szCs w:val="28"/>
          <w:u w:color="002060"/>
        </w:rPr>
        <w:t>Článok 2</w:t>
      </w:r>
    </w:p>
    <w:p w:rsidR="007452A7" w:rsidRDefault="00CD2A6C" w:rsidP="00CD2A6C">
      <w:pPr>
        <w:jc w:val="center"/>
        <w:rPr>
          <w:rFonts w:ascii="Times New Roman" w:hAnsi="Times New Roman" w:cs="Times New Roman"/>
          <w:szCs w:val="24"/>
        </w:rPr>
      </w:pPr>
      <w:r>
        <w:rPr>
          <w:rFonts w:ascii="Times New Roman" w:hAnsi="Times New Roman" w:cs="Times New Roman"/>
          <w:szCs w:val="24"/>
        </w:rPr>
        <w:t>Štandardy dodržiavania zákazu segregácie vo výchove a vzdelávaní</w:t>
      </w:r>
    </w:p>
    <w:p w:rsidR="007452A7" w:rsidRPr="007452A7" w:rsidRDefault="007452A7" w:rsidP="00CD2A6C">
      <w:pPr>
        <w:jc w:val="center"/>
        <w:rPr>
          <w:rFonts w:ascii="Times New Roman" w:hAnsi="Times New Roman" w:cs="Times New Roman"/>
          <w:szCs w:val="24"/>
        </w:rPr>
      </w:pPr>
    </w:p>
    <w:p w:rsidR="00CF777E" w:rsidRPr="007452A7" w:rsidRDefault="007452A7" w:rsidP="007452A7">
      <w:pPr>
        <w:rPr>
          <w:rFonts w:ascii="Times New Roman" w:hAnsi="Times New Roman" w:cs="Times New Roman"/>
          <w:b/>
          <w:szCs w:val="24"/>
        </w:rPr>
      </w:pPr>
      <w:r w:rsidRPr="007452A7">
        <w:rPr>
          <w:rFonts w:ascii="Times New Roman" w:hAnsi="Times New Roman" w:cs="Times New Roman"/>
          <w:b/>
          <w:szCs w:val="24"/>
        </w:rPr>
        <w:t xml:space="preserve">Štandardy postojov a hodnôt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r w:rsidRPr="007452A7">
        <w:rPr>
          <w:rFonts w:ascii="Times New Roman" w:hAnsi="Times New Roman" w:cs="Times New Roman"/>
          <w:szCs w:val="24"/>
          <w:vertAlign w:val="superscript"/>
        </w:rPr>
        <w:footnoteReference w:id="5"/>
      </w:r>
      <w:r w:rsidRPr="007452A7">
        <w:rPr>
          <w:rFonts w:ascii="Times New Roman" w:hAnsi="Times New Roman" w:cs="Times New Roman"/>
          <w:szCs w:val="24"/>
        </w:rPr>
        <w:t xml:space="preserve">. Deskriptory sú popisy a vysvetlenia týkajúce sa konkrétneho žiadúceho správania všetkých aktérov  vo vzdelávaní: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Zaobchádzať so všetkými ľuďmi bez rozdielu s rešpektom,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Vyjadrovať úctu všetkým bez rozdielu a vnímať rozmanitosť ako príležitosť a prínos pre školu  pri príprave a realizovaní aktivít výchovno-vzdelávacieho procesu.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Vyjadrovať druhým ľuďom uznanie ako rovnocenným ľudským bytostiam.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Rešpektovať ľudí rôzneho vierovyznania.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lastRenderedPageBreak/>
        <w:t xml:space="preserve">Rešpektovať ľudí, ktorí majú odlišné politické názory.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Prejavovať záujem spoznať presvedčenia, hodnoty, tradície a pohľady druhých ľudí na svet.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Dávať priestor druhým ľuďom na vyjadrenie sa.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Preukázať prebratie zodpovednosti za svoje skutky.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Ospravedlniť sa, pokiaľ niekomu ublížim. </w:t>
      </w:r>
    </w:p>
    <w:p w:rsidR="00CF777E" w:rsidRPr="00CD2A6C" w:rsidRDefault="007452A7" w:rsidP="00CD2A6C">
      <w:pPr>
        <w:pStyle w:val="Odsekzoznamu"/>
        <w:numPr>
          <w:ilvl w:val="0"/>
          <w:numId w:val="8"/>
        </w:numPr>
        <w:rPr>
          <w:rFonts w:ascii="Times New Roman" w:hAnsi="Times New Roman" w:cs="Times New Roman"/>
          <w:szCs w:val="24"/>
        </w:rPr>
      </w:pPr>
      <w:r w:rsidRPr="00CD2A6C">
        <w:rPr>
          <w:rFonts w:ascii="Times New Roman" w:hAnsi="Times New Roman" w:cs="Times New Roman"/>
          <w:szCs w:val="24"/>
        </w:rPr>
        <w:t xml:space="preserve">Vyjadrovať vôľu a záujem spolupracovať a pracovať s druhými ľuďmi na presadzovaní spoločných záujmov.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 </w:t>
      </w:r>
    </w:p>
    <w:p w:rsidR="00CF777E" w:rsidRPr="00CD2A6C" w:rsidRDefault="007452A7" w:rsidP="007452A7">
      <w:pPr>
        <w:rPr>
          <w:rFonts w:ascii="Times New Roman" w:hAnsi="Times New Roman" w:cs="Times New Roman"/>
          <w:b/>
          <w:szCs w:val="24"/>
        </w:rPr>
      </w:pPr>
      <w:r w:rsidRPr="00CD2A6C">
        <w:rPr>
          <w:rFonts w:ascii="Times New Roman" w:hAnsi="Times New Roman" w:cs="Times New Roman"/>
          <w:b/>
          <w:szCs w:val="24"/>
        </w:rPr>
        <w:t xml:space="preserve">Štandardy vyplývajúce z definície segregácie vo výchove a vzdelávaní: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Pr="007452A7">
        <w:rPr>
          <w:rFonts w:ascii="Times New Roman" w:hAnsi="Times New Roman" w:cs="Times New Roman"/>
          <w:szCs w:val="24"/>
          <w:vertAlign w:val="superscript"/>
        </w:rPr>
        <w:footnoteReference w:id="6"/>
      </w:r>
      <w:r w:rsidRPr="007452A7">
        <w:rPr>
          <w:rFonts w:ascii="Times New Roman" w:hAnsi="Times New Roman" w:cs="Times New Roman"/>
          <w:szCs w:val="24"/>
        </w:rPr>
        <w:t xml:space="preserv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 </w:t>
      </w:r>
    </w:p>
    <w:p w:rsidR="00CF777E" w:rsidRPr="00CD2A6C" w:rsidRDefault="007452A7" w:rsidP="007452A7">
      <w:pPr>
        <w:rPr>
          <w:rFonts w:ascii="Times New Roman" w:hAnsi="Times New Roman" w:cs="Times New Roman"/>
          <w:b/>
          <w:szCs w:val="24"/>
        </w:rPr>
      </w:pPr>
      <w:r w:rsidRPr="00CD2A6C">
        <w:rPr>
          <w:rFonts w:ascii="Times New Roman" w:hAnsi="Times New Roman" w:cs="Times New Roman"/>
          <w:b/>
          <w:szCs w:val="24"/>
        </w:rPr>
        <w:t xml:space="preserve">Štandardy priestorovej desegregácie: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Pr="007452A7">
        <w:rPr>
          <w:rFonts w:ascii="Times New Roman" w:hAnsi="Times New Roman" w:cs="Times New Roman"/>
          <w:szCs w:val="24"/>
          <w:vertAlign w:val="superscript"/>
        </w:rPr>
        <w:footnoteReference w:id="7"/>
      </w:r>
      <w:r w:rsidRPr="007452A7">
        <w:rPr>
          <w:rFonts w:ascii="Times New Roman" w:hAnsi="Times New Roman" w:cs="Times New Roman"/>
          <w:szCs w:val="24"/>
        </w:rPr>
        <w:t xml:space="preserv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 </w:t>
      </w:r>
    </w:p>
    <w:p w:rsidR="00CF777E" w:rsidRPr="00CD2A6C" w:rsidRDefault="007452A7" w:rsidP="007452A7">
      <w:pPr>
        <w:rPr>
          <w:rFonts w:ascii="Times New Roman" w:hAnsi="Times New Roman" w:cs="Times New Roman"/>
          <w:b/>
          <w:szCs w:val="24"/>
        </w:rPr>
      </w:pPr>
      <w:bookmarkStart w:id="0" w:name="_GoBack"/>
      <w:r w:rsidRPr="00CD2A6C">
        <w:rPr>
          <w:rFonts w:ascii="Times New Roman" w:hAnsi="Times New Roman" w:cs="Times New Roman"/>
          <w:b/>
          <w:szCs w:val="24"/>
        </w:rPr>
        <w:t xml:space="preserve">Štandardy organizačnej desegregácie: </w:t>
      </w:r>
    </w:p>
    <w:bookmarkEnd w:id="0"/>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Škola alebo školské zariadenie má nastavenú organizáciu školského vyučovania a denný program tak, aby nedochádzalo k vylučovaniu a neprípustnému oddeľovaniu niektorej skupiny  žiakov a poslucháčov</w:t>
      </w:r>
      <w:r w:rsidRPr="007452A7">
        <w:rPr>
          <w:rFonts w:ascii="Times New Roman" w:hAnsi="Times New Roman" w:cs="Times New Roman"/>
          <w:szCs w:val="24"/>
          <w:vertAlign w:val="superscript"/>
        </w:rPr>
        <w:footnoteReference w:id="8"/>
      </w:r>
      <w:r w:rsidRPr="007452A7">
        <w:rPr>
          <w:rFonts w:ascii="Times New Roman" w:hAnsi="Times New Roman" w:cs="Times New Roman"/>
          <w:szCs w:val="24"/>
        </w:rPr>
        <w:t xml:space="preserv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Pr="007452A7">
        <w:rPr>
          <w:rFonts w:ascii="Times New Roman" w:hAnsi="Times New Roman" w:cs="Times New Roman"/>
          <w:szCs w:val="24"/>
          <w:vertAlign w:val="superscript"/>
        </w:rPr>
        <w:footnoteReference w:id="9"/>
      </w:r>
      <w:r w:rsidRPr="007452A7">
        <w:rPr>
          <w:rFonts w:ascii="Times New Roman" w:hAnsi="Times New Roman" w:cs="Times New Roman"/>
          <w:szCs w:val="24"/>
        </w:rPr>
        <w:t>, individuálny učebný plán</w:t>
      </w:r>
      <w:r w:rsidRPr="007452A7">
        <w:rPr>
          <w:rFonts w:ascii="Times New Roman" w:hAnsi="Times New Roman" w:cs="Times New Roman"/>
          <w:szCs w:val="24"/>
          <w:vertAlign w:val="superscript"/>
        </w:rPr>
        <w:footnoteReference w:id="10"/>
      </w:r>
      <w:r w:rsidRPr="007452A7">
        <w:rPr>
          <w:rFonts w:ascii="Times New Roman" w:hAnsi="Times New Roman" w:cs="Times New Roman"/>
          <w:szCs w:val="24"/>
        </w:rPr>
        <w:t xml:space="preserve"> alebo poskytnuté podporné opatrenia</w:t>
      </w:r>
      <w:r w:rsidRPr="007452A7">
        <w:rPr>
          <w:rFonts w:ascii="Times New Roman" w:hAnsi="Times New Roman" w:cs="Times New Roman"/>
          <w:szCs w:val="24"/>
          <w:vertAlign w:val="superscript"/>
        </w:rPr>
        <w:footnoteReference w:id="11"/>
      </w:r>
      <w:r w:rsidRPr="007452A7">
        <w:rPr>
          <w:rFonts w:ascii="Times New Roman" w:hAnsi="Times New Roman" w:cs="Times New Roman"/>
          <w:szCs w:val="24"/>
        </w:rPr>
        <w:t xml:space="preserv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Škola alebo školské zariadenie je povinné využiť všetky dostupné prostriedky, nástroje a metódy, aby umožnila prístup ku vzdelávaniu v maximálnej miere všetkým skupinám žiakov aj v prípade krízových udalostí v škole</w:t>
      </w:r>
      <w:r w:rsidRPr="007452A7">
        <w:rPr>
          <w:rFonts w:ascii="Times New Roman" w:hAnsi="Times New Roman" w:cs="Times New Roman"/>
          <w:szCs w:val="24"/>
          <w:vertAlign w:val="superscript"/>
        </w:rPr>
        <w:footnoteReference w:id="12"/>
      </w:r>
      <w:r w:rsidRPr="007452A7">
        <w:rPr>
          <w:rFonts w:ascii="Times New Roman" w:hAnsi="Times New Roman" w:cs="Times New Roman"/>
          <w:szCs w:val="24"/>
        </w:rPr>
        <w:t xml:space="preserve">. Po ukončení krízovej udalosti je škola povinná realizovať príslušné podporné opatrenia na kompenzáciu prípadných výpadkov vo výchove a vzdelávaní, ktoré nemohli byť v maximálnej miere riešené počas krízovej situácie.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 </w:t>
      </w:r>
    </w:p>
    <w:p w:rsidR="00CF777E" w:rsidRPr="00CD2A6C" w:rsidRDefault="007452A7" w:rsidP="007452A7">
      <w:pPr>
        <w:rPr>
          <w:rFonts w:ascii="Times New Roman" w:hAnsi="Times New Roman" w:cs="Times New Roman"/>
          <w:b/>
          <w:szCs w:val="24"/>
        </w:rPr>
      </w:pPr>
      <w:r w:rsidRPr="00CD2A6C">
        <w:rPr>
          <w:rFonts w:ascii="Times New Roman" w:hAnsi="Times New Roman" w:cs="Times New Roman"/>
          <w:b/>
          <w:szCs w:val="24"/>
        </w:rPr>
        <w:t xml:space="preserve">Štandardy sociálnej desegregácie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rsidR="00CF777E" w:rsidRPr="007452A7" w:rsidRDefault="007452A7" w:rsidP="007452A7">
      <w:pPr>
        <w:rPr>
          <w:rFonts w:ascii="Times New Roman" w:hAnsi="Times New Roman" w:cs="Times New Roman"/>
          <w:szCs w:val="24"/>
        </w:rPr>
      </w:pPr>
      <w:r w:rsidRPr="007452A7">
        <w:rPr>
          <w:rFonts w:ascii="Times New Roman" w:hAnsi="Times New Roman" w:cs="Times New Roman"/>
          <w:szCs w:val="24"/>
        </w:rPr>
        <w:t xml:space="preserve"> </w:t>
      </w:r>
    </w:p>
    <w:p w:rsidR="00CF777E" w:rsidRDefault="00CF777E" w:rsidP="007452A7">
      <w:pPr>
        <w:ind w:left="0" w:firstLine="0"/>
        <w:rPr>
          <w:rFonts w:ascii="Times New Roman" w:hAnsi="Times New Roman" w:cs="Times New Roman"/>
          <w:szCs w:val="24"/>
        </w:rPr>
      </w:pPr>
    </w:p>
    <w:p w:rsidR="00CD2A6C" w:rsidRDefault="00CD2A6C" w:rsidP="00CD2A6C">
      <w:pPr>
        <w:ind w:left="0" w:firstLine="0"/>
        <w:jc w:val="center"/>
        <w:rPr>
          <w:rFonts w:ascii="Times New Roman" w:hAnsi="Times New Roman" w:cs="Times New Roman"/>
          <w:b/>
          <w:sz w:val="28"/>
          <w:szCs w:val="28"/>
        </w:rPr>
      </w:pPr>
      <w:r w:rsidRPr="00CD2A6C">
        <w:rPr>
          <w:rFonts w:ascii="Times New Roman" w:hAnsi="Times New Roman" w:cs="Times New Roman"/>
          <w:b/>
          <w:sz w:val="28"/>
          <w:szCs w:val="28"/>
        </w:rPr>
        <w:t>Článok 3</w:t>
      </w:r>
    </w:p>
    <w:p w:rsidR="00CD2A6C" w:rsidRPr="00CD2A6C" w:rsidRDefault="00CD2A6C" w:rsidP="00CD2A6C">
      <w:pPr>
        <w:ind w:left="0" w:firstLine="0"/>
        <w:jc w:val="center"/>
        <w:rPr>
          <w:rFonts w:ascii="Times New Roman" w:hAnsi="Times New Roman" w:cs="Times New Roman"/>
          <w:szCs w:val="24"/>
        </w:rPr>
      </w:pPr>
      <w:r w:rsidRPr="00CD2A6C">
        <w:rPr>
          <w:rFonts w:ascii="Times New Roman" w:hAnsi="Times New Roman" w:cs="Times New Roman"/>
          <w:szCs w:val="24"/>
        </w:rPr>
        <w:t>Záverečné ustanovenie</w:t>
      </w:r>
    </w:p>
    <w:p w:rsidR="00CD2A6C" w:rsidRDefault="00CD2A6C" w:rsidP="00CD2A6C">
      <w:pPr>
        <w:ind w:left="0" w:firstLine="0"/>
        <w:rPr>
          <w:rFonts w:ascii="Times New Roman" w:hAnsi="Times New Roman" w:cs="Times New Roman"/>
          <w:sz w:val="28"/>
          <w:szCs w:val="28"/>
        </w:rPr>
      </w:pPr>
    </w:p>
    <w:p w:rsidR="00CD2A6C" w:rsidRPr="00CD2A6C" w:rsidRDefault="00CD2A6C" w:rsidP="00CD2A6C">
      <w:pPr>
        <w:ind w:left="0" w:firstLine="0"/>
        <w:rPr>
          <w:rFonts w:ascii="Times New Roman" w:hAnsi="Times New Roman" w:cs="Times New Roman"/>
          <w:szCs w:val="24"/>
        </w:rPr>
      </w:pPr>
      <w:r w:rsidRPr="00CD2A6C">
        <w:rPr>
          <w:rFonts w:ascii="Times New Roman" w:hAnsi="Times New Roman" w:cs="Times New Roman"/>
          <w:szCs w:val="24"/>
        </w:rPr>
        <w:t>Tento dodatok je platný v plnom rozsahu od 05. februára 2025.</w:t>
      </w:r>
    </w:p>
    <w:p w:rsidR="00CD2A6C" w:rsidRPr="00CD2A6C" w:rsidRDefault="00CD2A6C" w:rsidP="00CD2A6C">
      <w:pPr>
        <w:ind w:left="0" w:firstLine="0"/>
        <w:rPr>
          <w:rFonts w:ascii="Times New Roman" w:hAnsi="Times New Roman" w:cs="Times New Roman"/>
          <w:szCs w:val="24"/>
        </w:rPr>
      </w:pPr>
    </w:p>
    <w:p w:rsidR="00CD2A6C" w:rsidRDefault="00CD2A6C" w:rsidP="00CD2A6C">
      <w:pPr>
        <w:ind w:left="0" w:firstLine="0"/>
        <w:rPr>
          <w:rFonts w:ascii="Times New Roman" w:hAnsi="Times New Roman" w:cs="Times New Roman"/>
          <w:szCs w:val="24"/>
        </w:rPr>
      </w:pP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r w:rsidRPr="00CD2A6C">
        <w:rPr>
          <w:rFonts w:ascii="Times New Roman" w:hAnsi="Times New Roman" w:cs="Times New Roman"/>
          <w:szCs w:val="24"/>
        </w:rPr>
        <w:tab/>
      </w:r>
    </w:p>
    <w:p w:rsidR="00CD2A6C" w:rsidRDefault="00CD2A6C" w:rsidP="00CD2A6C">
      <w:pPr>
        <w:ind w:left="0" w:firstLine="0"/>
        <w:rPr>
          <w:rFonts w:ascii="Times New Roman" w:hAnsi="Times New Roman" w:cs="Times New Roman"/>
          <w:szCs w:val="24"/>
        </w:rPr>
      </w:pPr>
    </w:p>
    <w:p w:rsidR="00CD2A6C" w:rsidRDefault="00CD2A6C" w:rsidP="00CD2A6C">
      <w:pPr>
        <w:ind w:left="0" w:firstLine="0"/>
        <w:rPr>
          <w:rFonts w:ascii="Times New Roman" w:hAnsi="Times New Roman" w:cs="Times New Roman"/>
          <w:szCs w:val="24"/>
        </w:rPr>
      </w:pPr>
    </w:p>
    <w:p w:rsidR="00CD2A6C" w:rsidRPr="00CD2A6C" w:rsidRDefault="00CD2A6C" w:rsidP="00CD2A6C">
      <w:pPr>
        <w:ind w:left="5664" w:firstLine="708"/>
        <w:rPr>
          <w:rFonts w:ascii="Times New Roman" w:hAnsi="Times New Roman" w:cs="Times New Roman"/>
          <w:szCs w:val="24"/>
        </w:rPr>
      </w:pPr>
      <w:r w:rsidRPr="00CD2A6C">
        <w:rPr>
          <w:rFonts w:ascii="Times New Roman" w:hAnsi="Times New Roman" w:cs="Times New Roman"/>
          <w:szCs w:val="24"/>
        </w:rPr>
        <w:t>Mgr. Ivana Ďurďáková</w:t>
      </w:r>
    </w:p>
    <w:p w:rsidR="00CD2A6C" w:rsidRDefault="00CD2A6C" w:rsidP="00CD2A6C">
      <w:pPr>
        <w:ind w:left="0" w:firstLine="0"/>
        <w:rPr>
          <w:rFonts w:ascii="Times New Roman" w:hAnsi="Times New Roman" w:cs="Times New Roman"/>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D2A6C">
        <w:rPr>
          <w:rFonts w:ascii="Times New Roman" w:hAnsi="Times New Roman" w:cs="Times New Roman"/>
          <w:szCs w:val="24"/>
        </w:rPr>
        <w:t>riaditeľka školy</w:t>
      </w:r>
    </w:p>
    <w:p w:rsidR="00CD2A6C" w:rsidRDefault="00CD2A6C" w:rsidP="00CD2A6C">
      <w:pPr>
        <w:ind w:left="0" w:firstLine="0"/>
        <w:rPr>
          <w:rFonts w:ascii="Times New Roman" w:hAnsi="Times New Roman" w:cs="Times New Roman"/>
          <w:szCs w:val="24"/>
        </w:rPr>
      </w:pPr>
    </w:p>
    <w:p w:rsidR="00CD2A6C" w:rsidRDefault="00CD2A6C" w:rsidP="00CD2A6C">
      <w:pPr>
        <w:ind w:left="0" w:firstLine="0"/>
        <w:rPr>
          <w:rFonts w:ascii="Times New Roman" w:hAnsi="Times New Roman" w:cs="Times New Roman"/>
          <w:szCs w:val="24"/>
        </w:rPr>
      </w:pPr>
    </w:p>
    <w:p w:rsidR="00CD2A6C" w:rsidRPr="00CD2A6C" w:rsidRDefault="00CD2A6C" w:rsidP="00CD2A6C">
      <w:pPr>
        <w:ind w:left="0" w:firstLine="0"/>
        <w:rPr>
          <w:rFonts w:ascii="Times New Roman" w:hAnsi="Times New Roman" w:cs="Times New Roman"/>
          <w:szCs w:val="24"/>
        </w:rPr>
        <w:sectPr w:rsidR="00CD2A6C" w:rsidRPr="00CD2A6C">
          <w:footerReference w:type="even" r:id="rId10"/>
          <w:footerReference w:type="default" r:id="rId11"/>
          <w:footerReference w:type="first" r:id="rId12"/>
          <w:pgSz w:w="11906" w:h="16838"/>
          <w:pgMar w:top="759" w:right="1392" w:bottom="808" w:left="1419" w:header="708" w:footer="578" w:gutter="0"/>
          <w:cols w:space="708"/>
        </w:sectPr>
      </w:pPr>
      <w:r>
        <w:rPr>
          <w:rFonts w:ascii="Times New Roman" w:hAnsi="Times New Roman" w:cs="Times New Roman"/>
          <w:szCs w:val="24"/>
        </w:rPr>
        <w:t>Prerokované na pedagogickej rade konanej 04.02.2025.</w:t>
      </w:r>
    </w:p>
    <w:p w:rsidR="00CF777E" w:rsidRPr="007452A7" w:rsidRDefault="00CF777E" w:rsidP="007452A7">
      <w:pPr>
        <w:ind w:left="0" w:firstLine="0"/>
        <w:rPr>
          <w:rFonts w:ascii="Times New Roman" w:hAnsi="Times New Roman" w:cs="Times New Roman"/>
          <w:szCs w:val="24"/>
        </w:rPr>
      </w:pPr>
    </w:p>
    <w:sectPr w:rsidR="00CF777E" w:rsidRPr="007452A7">
      <w:footerReference w:type="even" r:id="rId13"/>
      <w:footerReference w:type="default" r:id="rId14"/>
      <w:footerReference w:type="firs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A7" w:rsidRDefault="007452A7">
      <w:pPr>
        <w:spacing w:after="0" w:line="240" w:lineRule="auto"/>
      </w:pPr>
      <w:r>
        <w:separator/>
      </w:r>
    </w:p>
  </w:endnote>
  <w:endnote w:type="continuationSeparator" w:id="0">
    <w:p w:rsidR="007452A7" w:rsidRDefault="0074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0" w:line="259" w:lineRule="auto"/>
      <w:ind w:left="0" w:right="108"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0" w:line="259" w:lineRule="auto"/>
      <w:ind w:left="0" w:right="27"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0" w:line="259" w:lineRule="auto"/>
      <w:ind w:left="0" w:right="27"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0" w:line="259" w:lineRule="auto"/>
      <w:ind w:left="0" w:right="27" w:firstLine="0"/>
      <w:jc w:val="right"/>
    </w:pPr>
    <w:r>
      <w:rPr>
        <w:color w:val="1E4E9D"/>
        <w:sz w:val="20"/>
      </w:rPr>
      <w:t xml:space="preserve">MŠVVaM SR </w:t>
    </w:r>
    <w:r>
      <w:rPr>
        <w:color w:val="C00000"/>
        <w:sz w:val="18"/>
      </w:rPr>
      <w:t xml:space="preserve">| </w:t>
    </w:r>
    <w:r>
      <w:fldChar w:fldCharType="begin"/>
    </w:r>
    <w:r>
      <w:instrText xml:space="preserve"> PAGE   \* MERGEFORMAT </w:instrText>
    </w:r>
    <w:r>
      <w:fldChar w:fldCharType="separate"/>
    </w:r>
    <w:r>
      <w:rPr>
        <w:color w:val="1E4E9D"/>
        <w:sz w:val="20"/>
      </w:rPr>
      <w:t>2</w:t>
    </w:r>
    <w:r>
      <w:rPr>
        <w:color w:val="1E4E9D"/>
        <w:sz w:val="20"/>
      </w:rPr>
      <w:fldChar w:fldCharType="end"/>
    </w:r>
    <w:r>
      <w:rPr>
        <w:b/>
        <w:color w:val="1E4E9D"/>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A7" w:rsidRDefault="007452A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A7" w:rsidRDefault="007452A7">
      <w:pPr>
        <w:spacing w:after="0" w:line="259" w:lineRule="auto"/>
        <w:ind w:left="0" w:right="0" w:firstLine="0"/>
      </w:pPr>
      <w:r>
        <w:separator/>
      </w:r>
    </w:p>
  </w:footnote>
  <w:footnote w:type="continuationSeparator" w:id="0">
    <w:p w:rsidR="007452A7" w:rsidRDefault="007452A7">
      <w:pPr>
        <w:spacing w:after="0" w:line="259" w:lineRule="auto"/>
        <w:ind w:left="0" w:right="0" w:firstLine="0"/>
      </w:pPr>
      <w:r>
        <w:continuationSeparator/>
      </w:r>
    </w:p>
  </w:footnote>
  <w:footnote w:id="1">
    <w:p w:rsidR="007452A7" w:rsidRDefault="007452A7">
      <w:pPr>
        <w:pStyle w:val="footnotedescription"/>
        <w:jc w:val="both"/>
      </w:pPr>
      <w:r>
        <w:rPr>
          <w:rStyle w:val="footnotemark"/>
        </w:rPr>
        <w:footnoteRef/>
      </w:r>
      <w:r>
        <w:t xml:space="preserve"> </w:t>
      </w:r>
      <w:r>
        <w:rPr>
          <w:color w:val="000000"/>
          <w:u w:val="none" w:color="000000"/>
        </w:rPr>
        <w:t xml:space="preserve">Dohovor o právach dieťaťa (OSN, 1989) In </w:t>
      </w:r>
      <w:hyperlink r:id="rId1">
        <w:r>
          <w:t>Oznámenie Ministerstva zahraničných vecí Slovenskej republiky č. 104/1991 Z. z.</w:t>
        </w:r>
      </w:hyperlink>
      <w:hyperlink r:id="rId2">
        <w:r>
          <w:rPr>
            <w:color w:val="000000"/>
            <w:u w:val="none" w:color="000000"/>
          </w:rPr>
          <w:t xml:space="preserve"> </w:t>
        </w:r>
      </w:hyperlink>
    </w:p>
  </w:footnote>
  <w:footnote w:id="2">
    <w:p w:rsidR="007452A7" w:rsidRDefault="007452A7">
      <w:pPr>
        <w:pStyle w:val="footnotedescription"/>
      </w:pPr>
      <w:r>
        <w:rPr>
          <w:rStyle w:val="footnotemark"/>
        </w:rPr>
        <w:footnoteRef/>
      </w:r>
      <w:r>
        <w:t xml:space="preserve"> </w:t>
      </w:r>
      <w:hyperlink r:id="rId3">
        <w:r>
          <w:t>Metodick</w:t>
        </w:r>
      </w:hyperlink>
      <w:hyperlink r:id="rId4">
        <w:r>
          <w:t>á príručk</w:t>
        </w:r>
      </w:hyperlink>
      <w:hyperlink r:id="rId5">
        <w:r>
          <w:t>a</w:t>
        </w:r>
      </w:hyperlink>
      <w:hyperlink r:id="rId6">
        <w:r>
          <w:t xml:space="preserve"> </w:t>
        </w:r>
      </w:hyperlink>
      <w:hyperlink r:id="rId7">
        <w:r>
          <w:t>desegregácie vo výchove a</w:t>
        </w:r>
      </w:hyperlink>
      <w:hyperlink r:id="rId8">
        <w:r>
          <w:t xml:space="preserve"> </w:t>
        </w:r>
      </w:hyperlink>
      <w:hyperlink r:id="rId9">
        <w:r>
          <w:t>vzdelávaní</w:t>
        </w:r>
      </w:hyperlink>
      <w:hyperlink r:id="rId10">
        <w:r>
          <w:rPr>
            <w:color w:val="000000"/>
            <w:u w:val="none" w:color="000000"/>
          </w:rPr>
          <w:t xml:space="preserve"> </w:t>
        </w:r>
      </w:hyperlink>
      <w:r>
        <w:rPr>
          <w:color w:val="000000"/>
          <w:u w:val="none" w:color="000000"/>
        </w:rPr>
        <w:t xml:space="preserve">(MŠVVaŠ SR, 2023) </w:t>
      </w:r>
    </w:p>
  </w:footnote>
  <w:footnote w:id="3">
    <w:p w:rsidR="007452A7" w:rsidRDefault="007452A7">
      <w:pPr>
        <w:pStyle w:val="footnotedescription"/>
      </w:pPr>
      <w:r>
        <w:rPr>
          <w:rStyle w:val="footnotemark"/>
        </w:rPr>
        <w:footnoteRef/>
      </w:r>
      <w:r>
        <w:t xml:space="preserve"> </w:t>
      </w:r>
      <w:hyperlink r:id="rId11" w:anchor="paragraf-3.pismeno-f">
        <w:r>
          <w:t>§ 3 písm. f) zákona č. 245/2008 Z. z. (školský zákon)</w:t>
        </w:r>
      </w:hyperlink>
      <w:hyperlink r:id="rId12" w:anchor="paragraf-3.pismeno-f">
        <w:r>
          <w:rPr>
            <w:color w:val="000000"/>
            <w:u w:val="none" w:color="000000"/>
          </w:rPr>
          <w:t xml:space="preserve"> </w:t>
        </w:r>
      </w:hyperlink>
    </w:p>
  </w:footnote>
  <w:footnote w:id="4">
    <w:p w:rsidR="00CD2A6C" w:rsidRDefault="00CD2A6C" w:rsidP="00CD2A6C">
      <w:pPr>
        <w:pStyle w:val="footnotedescription"/>
        <w:spacing w:line="242" w:lineRule="auto"/>
        <w:ind w:right="27"/>
        <w:jc w:val="both"/>
      </w:pPr>
      <w:r>
        <w:rPr>
          <w:rStyle w:val="footnotemark"/>
        </w:rPr>
        <w:footnoteRef/>
      </w:r>
      <w:r>
        <w:t xml:space="preserve"> </w:t>
      </w:r>
      <w:r>
        <w:rPr>
          <w:color w:val="000000"/>
          <w:u w:val="none" w:color="000000"/>
        </w:rPr>
        <w:t xml:space="preserve">§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5">
    <w:p w:rsidR="007452A7" w:rsidRDefault="007452A7">
      <w:pPr>
        <w:pStyle w:val="footnotedescription"/>
        <w:spacing w:line="243" w:lineRule="auto"/>
        <w:ind w:right="29"/>
        <w:jc w:val="both"/>
      </w:pPr>
      <w:r>
        <w:rPr>
          <w:rStyle w:val="footnotemark"/>
        </w:rPr>
        <w:footnoteRef/>
      </w:r>
      <w:r>
        <w:t xml:space="preserve"> </w:t>
      </w:r>
      <w:hyperlink r:id="rId13">
        <w:r>
          <w:t>Referenčný rámec kompetencií pre demokratickú kultúru</w:t>
        </w:r>
      </w:hyperlink>
      <w:hyperlink r:id="rId14">
        <w:r>
          <w:t xml:space="preserve"> </w:t>
        </w:r>
      </w:hyperlink>
      <w:r>
        <w:rPr>
          <w:color w:val="000000"/>
          <w:u w:val="none" w:color="000000"/>
        </w:rPr>
        <w:t xml:space="preserve">bol vytvorený v roku 2018 Radou Európy, ktorej členským štátom je od roku 1993 aj SR. Pre SR má status odporúčania pri vytváraní vzdelávacích stratégií a metodík na podporu demokratickej kultúry, ľudských práv a sociálnych kompetencií. </w:t>
      </w:r>
    </w:p>
  </w:footnote>
  <w:footnote w:id="6">
    <w:p w:rsidR="007452A7" w:rsidRDefault="007452A7">
      <w:pPr>
        <w:pStyle w:val="footnotedescription"/>
      </w:pPr>
      <w:r>
        <w:rPr>
          <w:rStyle w:val="footnotemark"/>
        </w:rPr>
        <w:footnoteRef/>
      </w:r>
      <w:r>
        <w:t xml:space="preserve"> </w:t>
      </w:r>
      <w:hyperlink r:id="rId15">
        <w:r>
          <w:t>Metodick</w:t>
        </w:r>
      </w:hyperlink>
      <w:hyperlink r:id="rId16">
        <w:r>
          <w:t>á príručk</w:t>
        </w:r>
      </w:hyperlink>
      <w:hyperlink r:id="rId17">
        <w:r>
          <w:t>a</w:t>
        </w:r>
      </w:hyperlink>
      <w:hyperlink r:id="rId18">
        <w:r>
          <w:t xml:space="preserve"> </w:t>
        </w:r>
      </w:hyperlink>
      <w:hyperlink r:id="rId19">
        <w:r>
          <w:t>desegregácie vo výchove a</w:t>
        </w:r>
      </w:hyperlink>
      <w:hyperlink r:id="rId20">
        <w:r>
          <w:t xml:space="preserve"> </w:t>
        </w:r>
      </w:hyperlink>
      <w:hyperlink r:id="rId21">
        <w:r>
          <w:t>vzdelávaní</w:t>
        </w:r>
      </w:hyperlink>
      <w:hyperlink r:id="rId22">
        <w:r>
          <w:rPr>
            <w:color w:val="000000"/>
            <w:u w:val="none" w:color="000000"/>
          </w:rPr>
          <w:t xml:space="preserve"> </w:t>
        </w:r>
      </w:hyperlink>
      <w:r>
        <w:rPr>
          <w:color w:val="000000"/>
          <w:u w:val="none" w:color="000000"/>
        </w:rPr>
        <w:t xml:space="preserve">(MŠVVaŠ SR, 2023) </w:t>
      </w:r>
    </w:p>
  </w:footnote>
  <w:footnote w:id="7">
    <w:p w:rsidR="007452A7" w:rsidRDefault="007452A7">
      <w:pPr>
        <w:pStyle w:val="footnotedescription"/>
        <w:spacing w:line="242" w:lineRule="auto"/>
        <w:ind w:right="30"/>
        <w:jc w:val="both"/>
      </w:pPr>
      <w:r>
        <w:rPr>
          <w:rStyle w:val="footnotemark"/>
        </w:rPr>
        <w:footnoteRef/>
      </w:r>
      <w:r>
        <w:t xml:space="preserve"> </w:t>
      </w:r>
      <w:r>
        <w:rPr>
          <w:color w:val="000000"/>
          <w:u w:val="none" w:color="000000"/>
        </w:rPr>
        <w:t xml:space="preserve">Chránené dôvody podľa antidiskriminačného zákona sú charakteristiky ľudí, úzko spojené s ich dôstojnosťou a identitou, ktoré nesmú byť zneužité pre neprípustné rozdielne zaobchádzanie s nimi. Sú to: </w:t>
      </w:r>
      <w:r>
        <w:rPr>
          <w:i/>
          <w:color w:val="000000"/>
          <w:u w:val="none" w:color="000000"/>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23" w:anchor="paragraf-2">
        <w:r>
          <w:t>§ 2 ods. 1 zákona č. 365/2004 Z. z.</w:t>
        </w:r>
      </w:hyperlink>
      <w:hyperlink r:id="rId24" w:anchor="paragraf-2">
        <w:r>
          <w:rPr>
            <w:u w:val="none" w:color="000000"/>
          </w:rPr>
          <w:t xml:space="preserve">  </w:t>
        </w:r>
      </w:hyperlink>
      <w:hyperlink r:id="rId25" w:anchor="paragraf-2">
        <w:r>
          <w:rPr>
            <w:color w:val="000000"/>
            <w:u w:val="none" w:color="000000"/>
          </w:rPr>
          <w:t xml:space="preserve"> </w:t>
        </w:r>
      </w:hyperlink>
    </w:p>
  </w:footnote>
  <w:footnote w:id="8">
    <w:p w:rsidR="007452A7" w:rsidRDefault="007452A7">
      <w:pPr>
        <w:pStyle w:val="footnotedescription"/>
      </w:pPr>
      <w:r>
        <w:rPr>
          <w:rStyle w:val="footnotemark"/>
        </w:rPr>
        <w:footnoteRef/>
      </w:r>
      <w:r>
        <w:t xml:space="preserve"> </w:t>
      </w:r>
      <w:hyperlink r:id="rId26" w:anchor="paragraf-2">
        <w:r>
          <w:t xml:space="preserve">§ 2 ods. </w:t>
        </w:r>
      </w:hyperlink>
      <w:hyperlink r:id="rId27" w:anchor="paragraf-2">
        <w:r>
          <w:t>1</w:t>
        </w:r>
      </w:hyperlink>
      <w:hyperlink r:id="rId28" w:anchor="paragraf-2">
        <w:r>
          <w:t xml:space="preserve"> </w:t>
        </w:r>
      </w:hyperlink>
      <w:hyperlink r:id="rId29" w:anchor="paragraf-2">
        <w:r>
          <w:t>zákona č. 365/2004 Z. z. (antidiskriminačný zákon)</w:t>
        </w:r>
      </w:hyperlink>
      <w:hyperlink r:id="rId30" w:anchor="paragraf-2">
        <w:r>
          <w:rPr>
            <w:u w:val="none" w:color="000000"/>
          </w:rPr>
          <w:t xml:space="preserve"> </w:t>
        </w:r>
      </w:hyperlink>
      <w:hyperlink r:id="rId31" w:anchor="paragraf-2">
        <w:r>
          <w:rPr>
            <w:color w:val="000000"/>
            <w:u w:val="none" w:color="000000"/>
          </w:rPr>
          <w:t xml:space="preserve"> </w:t>
        </w:r>
      </w:hyperlink>
    </w:p>
  </w:footnote>
  <w:footnote w:id="9">
    <w:p w:rsidR="007452A7" w:rsidRDefault="007452A7">
      <w:pPr>
        <w:pStyle w:val="footnotedescription"/>
      </w:pPr>
      <w:r>
        <w:rPr>
          <w:rStyle w:val="footnotemark"/>
        </w:rPr>
        <w:footnoteRef/>
      </w:r>
      <w:r>
        <w:t xml:space="preserve"> </w:t>
      </w:r>
      <w:hyperlink r:id="rId32" w:anchor="paragraf-7a.nadpis">
        <w:r>
          <w:t>§ 7a zákona č. 245/2008 Z. z. (školský zákon)</w:t>
        </w:r>
      </w:hyperlink>
      <w:hyperlink r:id="rId33" w:anchor="paragraf-7a.nadpis">
        <w:r>
          <w:rPr>
            <w:color w:val="000000"/>
            <w:u w:val="none" w:color="000000"/>
          </w:rPr>
          <w:t xml:space="preserve"> </w:t>
        </w:r>
      </w:hyperlink>
    </w:p>
  </w:footnote>
  <w:footnote w:id="10">
    <w:p w:rsidR="007452A7" w:rsidRDefault="007452A7">
      <w:pPr>
        <w:pStyle w:val="footnotedescription"/>
      </w:pPr>
      <w:r>
        <w:rPr>
          <w:rStyle w:val="footnotemark"/>
        </w:rPr>
        <w:footnoteRef/>
      </w:r>
      <w:r>
        <w:t xml:space="preserve"> </w:t>
      </w:r>
      <w:hyperlink r:id="rId34" w:anchor="paragraf-26">
        <w:r>
          <w:t>§ 26 zákona č. 245/2008 Z. z. (školský zákon)</w:t>
        </w:r>
      </w:hyperlink>
      <w:hyperlink r:id="rId35" w:anchor="paragraf-26">
        <w:r>
          <w:rPr>
            <w:color w:val="000000"/>
            <w:u w:val="none" w:color="000000"/>
          </w:rPr>
          <w:t xml:space="preserve"> </w:t>
        </w:r>
      </w:hyperlink>
    </w:p>
  </w:footnote>
  <w:footnote w:id="11">
    <w:p w:rsidR="007452A7" w:rsidRDefault="007452A7">
      <w:pPr>
        <w:pStyle w:val="footnotedescription"/>
      </w:pPr>
      <w:r>
        <w:rPr>
          <w:rStyle w:val="footnotemark"/>
        </w:rPr>
        <w:footnoteRef/>
      </w:r>
      <w:r>
        <w:t xml:space="preserve"> </w:t>
      </w:r>
      <w:hyperlink r:id="rId36" w:anchor="paragraf-145a">
        <w:r>
          <w:t>§ 145a zákona č. 245/2008 Z. z. (školský zákon)</w:t>
        </w:r>
      </w:hyperlink>
      <w:hyperlink r:id="rId37" w:anchor="paragraf-145a">
        <w:r>
          <w:rPr>
            <w:color w:val="000000"/>
            <w:u w:val="none" w:color="000000"/>
          </w:rPr>
          <w:t xml:space="preserve"> </w:t>
        </w:r>
      </w:hyperlink>
    </w:p>
  </w:footnote>
  <w:footnote w:id="12">
    <w:p w:rsidR="007452A7" w:rsidRDefault="007452A7">
      <w:pPr>
        <w:pStyle w:val="footnotedescription"/>
      </w:pPr>
      <w:r>
        <w:rPr>
          <w:rStyle w:val="footnotemark"/>
        </w:rPr>
        <w:footnoteRef/>
      </w:r>
      <w:r>
        <w:t xml:space="preserve"> </w:t>
      </w:r>
      <w:r>
        <w:rPr>
          <w:color w:val="000000"/>
          <w:u w:val="none" w:color="000000"/>
        </w:rPr>
        <w:t xml:space="preserve">Podrobné informácie ku krízovým udalostiam na školách sú dostupné </w:t>
      </w:r>
      <w:hyperlink r:id="rId38">
        <w:r>
          <w:t>na webovom sídle ministerstva</w:t>
        </w:r>
      </w:hyperlink>
      <w:hyperlink r:id="rId39">
        <w:r>
          <w:rPr>
            <w:color w:val="000000"/>
            <w:u w:val="none" w:color="000000"/>
          </w:rPr>
          <w:t>.</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1E7F"/>
    <w:multiLevelType w:val="hybridMultilevel"/>
    <w:tmpl w:val="2506D554"/>
    <w:lvl w:ilvl="0" w:tplc="8716C46E">
      <w:start w:val="1"/>
      <w:numFmt w:val="bullet"/>
      <w:lvlText w:val="▪"/>
      <w:lvlJc w:val="left"/>
      <w:pPr>
        <w:ind w:left="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E0102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68741E">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6E542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38CED0">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647E8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A62898">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ECFC86">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00FFDC">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CF0924"/>
    <w:multiLevelType w:val="hybridMultilevel"/>
    <w:tmpl w:val="A182637A"/>
    <w:lvl w:ilvl="0" w:tplc="C09CB4C4">
      <w:start w:val="1"/>
      <w:numFmt w:val="bullet"/>
      <w:lvlText w:val="▪"/>
      <w:lvlJc w:val="left"/>
      <w:pPr>
        <w:ind w:left="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488E4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CCADCC">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B64212">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20B3BA">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76DF36">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567384">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98118C">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64D592">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010C6A"/>
    <w:multiLevelType w:val="hybridMultilevel"/>
    <w:tmpl w:val="01B61988"/>
    <w:lvl w:ilvl="0" w:tplc="FB605D34">
      <w:start w:val="1"/>
      <w:numFmt w:val="lowerLetter"/>
      <w:lvlText w:val="%1)"/>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9632C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6CDE9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16959C">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603F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7054F6">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6E4E38">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C93D8">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18FCE2">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505240"/>
    <w:multiLevelType w:val="hybridMultilevel"/>
    <w:tmpl w:val="9D1CC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0221815"/>
    <w:multiLevelType w:val="hybridMultilevel"/>
    <w:tmpl w:val="469C3C52"/>
    <w:lvl w:ilvl="0" w:tplc="76447B1C">
      <w:start w:val="100"/>
      <w:numFmt w:val="lowerRoman"/>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BC557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C81CE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DEDD3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CE9C2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90F8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0A604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D08DF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AD480B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FB55A6"/>
    <w:multiLevelType w:val="hybridMultilevel"/>
    <w:tmpl w:val="FDA6895C"/>
    <w:lvl w:ilvl="0" w:tplc="F0C4548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E4D76">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187DB2">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5887CC">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ACD29A">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CE8B62">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2A4B9E">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3034F0">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1839F2">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8C1541"/>
    <w:multiLevelType w:val="hybridMultilevel"/>
    <w:tmpl w:val="C0980D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6065293"/>
    <w:multiLevelType w:val="hybridMultilevel"/>
    <w:tmpl w:val="2712229E"/>
    <w:lvl w:ilvl="0" w:tplc="7C3C7706">
      <w:start w:val="1"/>
      <w:numFmt w:val="lowerLetter"/>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0C1E3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4C4BA4">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D41D88">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885B22">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76253E">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E4C638">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E833C">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0E8194">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7E"/>
    <w:rsid w:val="004033E3"/>
    <w:rsid w:val="007452A7"/>
    <w:rsid w:val="00CD2A6C"/>
    <w:rsid w:val="00CF77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05DF"/>
  <w15:docId w15:val="{7AF97D9D-465E-4654-927D-81743DE5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0" w:line="268" w:lineRule="auto"/>
      <w:ind w:left="10" w:right="104" w:hanging="10"/>
      <w:jc w:val="both"/>
    </w:pPr>
    <w:rPr>
      <w:rFonts w:ascii="Arial" w:eastAsia="Arial" w:hAnsi="Arial" w:cs="Arial"/>
      <w:color w:val="000000"/>
      <w:sz w:val="24"/>
    </w:rPr>
  </w:style>
  <w:style w:type="paragraph" w:styleId="Nadpis1">
    <w:name w:val="heading 1"/>
    <w:next w:val="Normlny"/>
    <w:link w:val="Nadpis1Char"/>
    <w:uiPriority w:val="9"/>
    <w:unhideWhenUsed/>
    <w:qFormat/>
    <w:pPr>
      <w:keepNext/>
      <w:keepLines/>
      <w:numPr>
        <w:numId w:val="6"/>
      </w:numPr>
      <w:spacing w:after="60"/>
      <w:outlineLvl w:val="0"/>
    </w:pPr>
    <w:rPr>
      <w:rFonts w:ascii="Arial" w:eastAsia="Arial" w:hAnsi="Arial" w:cs="Arial"/>
      <w:b/>
      <w:color w:val="000000"/>
      <w:sz w:val="2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3"/>
    </w:rPr>
  </w:style>
  <w:style w:type="paragraph" w:customStyle="1" w:styleId="footnotedescription">
    <w:name w:val="footnote description"/>
    <w:next w:val="Normlny"/>
    <w:link w:val="footnotedescriptionChar"/>
    <w:hidden/>
    <w:pPr>
      <w:spacing w:after="0"/>
    </w:pPr>
    <w:rPr>
      <w:rFonts w:ascii="Arial" w:eastAsia="Arial" w:hAnsi="Arial" w:cs="Arial"/>
      <w:color w:val="4472C4"/>
      <w:sz w:val="20"/>
      <w:u w:val="single" w:color="4472C4"/>
    </w:rPr>
  </w:style>
  <w:style w:type="character" w:customStyle="1" w:styleId="footnotedescriptionChar">
    <w:name w:val="footnote description Char"/>
    <w:link w:val="footnotedescription"/>
    <w:rPr>
      <w:rFonts w:ascii="Arial" w:eastAsia="Arial" w:hAnsi="Arial" w:cs="Arial"/>
      <w:color w:val="4472C4"/>
      <w:sz w:val="20"/>
      <w:u w:val="single" w:color="4472C4"/>
    </w:rPr>
  </w:style>
  <w:style w:type="character" w:customStyle="1" w:styleId="footnotemark">
    <w:name w:val="footnote mark"/>
    <w:hidden/>
    <w:rPr>
      <w:rFonts w:ascii="Arial" w:eastAsia="Arial" w:hAnsi="Arial" w:cs="Arial"/>
      <w:color w:val="000000"/>
      <w:sz w:val="20"/>
      <w:vertAlign w:val="superscript"/>
    </w:rPr>
  </w:style>
  <w:style w:type="paragraph" w:styleId="Odsekzoznamu">
    <w:name w:val="List Paragraph"/>
    <w:basedOn w:val="Normlny"/>
    <w:uiPriority w:val="34"/>
    <w:qFormat/>
    <w:rsid w:val="00745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www.minedu.sk/data/att/71e/30599.332e7e.pdf" TargetMode="External"/><Relationship Id="rId13" Type="http://schemas.openxmlformats.org/officeDocument/2006/relationships/hyperlink" Target="https://rm.coe.int/reference-framework-vol2-slovak-final/168098f7df" TargetMode="External"/><Relationship Id="rId18" Type="http://schemas.openxmlformats.org/officeDocument/2006/relationships/hyperlink" Target="https://www.minedu.sk/data/att/71e/30599.332e7e.pdf" TargetMode="External"/><Relationship Id="rId26" Type="http://schemas.openxmlformats.org/officeDocument/2006/relationships/hyperlink" Target="https://www.slov-lex.sk/pravne-predpisy/SK/ZZ/2004/365/" TargetMode="External"/><Relationship Id="rId39" Type="http://schemas.openxmlformats.org/officeDocument/2006/relationships/hyperlink" Target="https://www.minedu.sk/krizove-udalosti-na-skolach/" TargetMode="External"/><Relationship Id="rId3" Type="http://schemas.openxmlformats.org/officeDocument/2006/relationships/hyperlink" Target="https://www.minedu.sk/data/att/71e/30599.332e7e.pdf" TargetMode="External"/><Relationship Id="rId21" Type="http://schemas.openxmlformats.org/officeDocument/2006/relationships/hyperlink" Target="https://www.minedu.sk/data/att/71e/30599.332e7e.pdf" TargetMode="External"/><Relationship Id="rId34" Type="http://schemas.openxmlformats.org/officeDocument/2006/relationships/hyperlink" Target="https://www.slov-lex.sk/ezbierky-fe/pravne-predpisy/SK/ZZ/2008/245/" TargetMode="External"/><Relationship Id="rId7" Type="http://schemas.openxmlformats.org/officeDocument/2006/relationships/hyperlink" Target="https://www.minedu.sk/data/att/71e/30599.332e7e.pdf" TargetMode="External"/><Relationship Id="rId12" Type="http://schemas.openxmlformats.org/officeDocument/2006/relationships/hyperlink" Target="https://www.slov-lex.sk/pravne-predpisy/SK/ZZ/2008/245/20230901" TargetMode="External"/><Relationship Id="rId17" Type="http://schemas.openxmlformats.org/officeDocument/2006/relationships/hyperlink" Target="https://www.minedu.sk/data/att/71e/30599.332e7e.pdf"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ezbierky-fe/pravne-predpisy/SK/ZZ/2008/245/" TargetMode="External"/><Relationship Id="rId38" Type="http://schemas.openxmlformats.org/officeDocument/2006/relationships/hyperlink" Target="https://www.minedu.sk/krizove-udalosti-na-skolach/" TargetMode="External"/><Relationship Id="rId2" Type="http://schemas.openxmlformats.org/officeDocument/2006/relationships/hyperlink" Target="https://www.slov-lex.sk/ezbierky/pravne-predpisy/SK/ZZ/1991/104/" TargetMode="External"/><Relationship Id="rId16" Type="http://schemas.openxmlformats.org/officeDocument/2006/relationships/hyperlink" Target="https://www.minedu.sk/data/att/71e/30599.332e7e.pdf" TargetMode="External"/><Relationship Id="rId20" Type="http://schemas.openxmlformats.org/officeDocument/2006/relationships/hyperlink" Target="https://www.minedu.sk/data/att/71e/30599.332e7e.pdf" TargetMode="External"/><Relationship Id="rId29" Type="http://schemas.openxmlformats.org/officeDocument/2006/relationships/hyperlink" Target="https://www.slov-lex.sk/pravne-predpisy/SK/ZZ/2004/365/"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minedu.sk/data/att/71e/30599.332e7e.pdf" TargetMode="External"/><Relationship Id="rId11" Type="http://schemas.openxmlformats.org/officeDocument/2006/relationships/hyperlink" Target="https://www.slov-lex.sk/pravne-predpisy/SK/ZZ/2008/245/20230901" TargetMode="External"/><Relationship Id="rId24" Type="http://schemas.openxmlformats.org/officeDocument/2006/relationships/hyperlink" Target="https://www.slov-lex.sk/pravne-predpisy/SK/ZZ/2004/365/" TargetMode="External"/><Relationship Id="rId32" Type="http://schemas.openxmlformats.org/officeDocument/2006/relationships/hyperlink" Target="https://www.slov-lex.sk/ezbierky-fe/pravne-predpisy/SK/ZZ/2008/245/" TargetMode="External"/><Relationship Id="rId37" Type="http://schemas.openxmlformats.org/officeDocument/2006/relationships/hyperlink" Target="https://www.slov-lex.sk/ezbierky-fe/pravne-predpisy/SK/ZZ/2008/245/" TargetMode="External"/><Relationship Id="rId5" Type="http://schemas.openxmlformats.org/officeDocument/2006/relationships/hyperlink" Target="https://www.minedu.sk/data/att/71e/30599.332e7e.pdf" TargetMode="External"/><Relationship Id="rId15" Type="http://schemas.openxmlformats.org/officeDocument/2006/relationships/hyperlink" Target="https://www.minedu.sk/data/att/71e/30599.332e7e.pdf" TargetMode="External"/><Relationship Id="rId23" Type="http://schemas.openxmlformats.org/officeDocument/2006/relationships/hyperlink" Target="https://www.slov-lex.sk/pravne-predpisy/SK/ZZ/2004/365/"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slov-lex.sk/ezbierky-fe/pravne-predpisy/SK/ZZ/2008/245/" TargetMode="External"/><Relationship Id="rId10" Type="http://schemas.openxmlformats.org/officeDocument/2006/relationships/hyperlink" Target="https://www.minedu.sk/data/att/71e/30599.332e7e.pdf" TargetMode="External"/><Relationship Id="rId19" Type="http://schemas.openxmlformats.org/officeDocument/2006/relationships/hyperlink" Target="https://www.minedu.sk/data/att/71e/30599.332e7e.pdf" TargetMode="External"/><Relationship Id="rId31" Type="http://schemas.openxmlformats.org/officeDocument/2006/relationships/hyperlink" Target="https://www.slov-lex.sk/pravne-predpisy/SK/ZZ/2004/365/" TargetMode="External"/><Relationship Id="rId4" Type="http://schemas.openxmlformats.org/officeDocument/2006/relationships/hyperlink" Target="https://www.minedu.sk/data/att/71e/30599.332e7e.pdf" TargetMode="External"/><Relationship Id="rId9" Type="http://schemas.openxmlformats.org/officeDocument/2006/relationships/hyperlink" Target="https://www.minedu.sk/data/att/71e/30599.332e7e.pdf" TargetMode="External"/><Relationship Id="rId14" Type="http://schemas.openxmlformats.org/officeDocument/2006/relationships/hyperlink" Target="https://rm.coe.int/reference-framework-vol2-slovak-final/168098f7df" TargetMode="External"/><Relationship Id="rId22" Type="http://schemas.openxmlformats.org/officeDocument/2006/relationships/hyperlink" Target="https://www.minedu.sk/data/att/71e/30599.332e7e.pdf" TargetMode="External"/><Relationship Id="rId27" Type="http://schemas.openxmlformats.org/officeDocument/2006/relationships/hyperlink" Target="https://www.slov-lex.sk/pravne-predpisy/SK/ZZ/2004/365/" TargetMode="External"/><Relationship Id="rId30" Type="http://schemas.openxmlformats.org/officeDocument/2006/relationships/hyperlink" Target="https://www.slov-lex.sk/pravne-predpisy/SK/ZZ/2004/365/" TargetMode="External"/><Relationship Id="rId35"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1629</Words>
  <Characters>9288</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METODICKÁ PRÍRUČKA DESEGREGÁCIE 
VO VÝCHOVE A VZDELÁVANÍ</vt:lpstr>
    </vt:vector>
  </TitlesOfParts>
  <Company>Gymnazium Martina Kukucina</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PRÍRUČKA DESEGREGÁCIE 
VO VÝCHOVE A VZDELÁVANÍ</dc:title>
  <dc:subject>ČASŤ A – VÝKLADOVÁ ČASŤ</dc:subject>
  <dc:creator>Sekcia národnostného a inkluzívneho vzdelávania</dc:creator>
  <cp:keywords/>
  <cp:lastModifiedBy>Ivana Ďurďáková</cp:lastModifiedBy>
  <cp:revision>3</cp:revision>
  <dcterms:created xsi:type="dcterms:W3CDTF">2025-02-10T11:06:00Z</dcterms:created>
  <dcterms:modified xsi:type="dcterms:W3CDTF">2025-02-10T12:37:00Z</dcterms:modified>
</cp:coreProperties>
</file>